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Competitor analysis</w:t>
      </w: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Name</w:t>
      </w: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Professor</w:t>
      </w: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Institutional affiliation</w:t>
      </w: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Date</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Trend analysis</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Home Depot </w:t>
      </w:r>
      <w:r>
        <w:rPr>
          <w:rFonts w:ascii="Times New Roman" w:cs="Times New Roman" w:eastAsia="Times New Roman" w:hAnsi="Times New Roman"/>
          <w:sz w:val="24"/>
          <w:szCs w:val="24"/>
        </w:rPr>
        <w:t>Inc.</w:t>
      </w:r>
    </w:p>
    <w:tbl>
      <w:tblPr>
        <w:tblW w:w="11490" w:type="dxa"/>
        <w:tblInd w:w="-1057" w:type="dxa"/>
        <w:tblLook w:val="04A0" w:firstRow="1" w:lastRow="0" w:firstColumn="1" w:lastColumn="0" w:noHBand="0" w:noVBand="1"/>
      </w:tblPr>
      <w:tblGrid>
        <w:gridCol w:w="3820"/>
        <w:gridCol w:w="1534"/>
        <w:gridCol w:w="1534"/>
        <w:gridCol w:w="1534"/>
        <w:gridCol w:w="1534"/>
        <w:gridCol w:w="1534"/>
      </w:tblGrid>
      <w:tr>
        <w:trPr>
          <w:trHeight w:val="300" w:hRule="atLeast"/>
        </w:trPr>
        <w:tc>
          <w:tcPr>
            <w:tcW w:w="382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53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2015</w:t>
            </w:r>
          </w:p>
        </w:tc>
        <w:tc>
          <w:tcPr>
            <w:tcW w:w="153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2014</w:t>
            </w:r>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2013</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94,595,000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88,519,000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83,176,000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81,765,000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79,567,000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62,282,000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58,254,000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54,787,000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52,176,000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50,178,000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32,313,000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30,265,000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28,389,000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29,589,000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29,389,000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10,439,000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9,876,000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9,789,000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81,168,000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76,745,000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72,737,000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71,890,000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69,870,000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10,439,000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10,321,000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9,981,000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(936,000)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(753,000)</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(463,000)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(398,000)</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(402,300)</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10,439,000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10,321,000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9,981,000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(972,000)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(919,000)</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(830,000)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(801,350)</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(793,000)</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7,957,000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6,038,000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6,038,000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6,038,000 </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5,978,670 </w:t>
            </w:r>
          </w:p>
        </w:tc>
      </w:tr>
      <w:tr>
        <w:tblPrEx/>
        <w:trPr>
          <w:trHeight w:val="300" w:hRule="atLeast"/>
        </w:trPr>
        <w:tc>
          <w:tcPr>
            <w:tcW w:w="382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7,957,000 </w:t>
            </w:r>
          </w:p>
        </w:tc>
        <w:tc>
          <w:tcPr>
            <w:tcW w:w="153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6,038,000 </w:t>
            </w: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6,038,000 </w:t>
            </w:r>
          </w:p>
        </w:tc>
        <w:tc>
          <w:tcPr>
            <w:tcW w:w="153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6,038,000 </w:t>
            </w: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5,978,670 </w:t>
            </w:r>
          </w:p>
        </w:tc>
      </w:tr>
    </w:tbl>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(finance.yahoo.com)</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Amazon</w:t>
      </w:r>
    </w:p>
    <w:tbl>
      <w:tblPr>
        <w:tblW w:w="10385" w:type="dxa"/>
        <w:tblInd w:w="93" w:type="dxa"/>
        <w:tblLook w:val="04A0" w:firstRow="1" w:lastRow="0" w:firstColumn="1" w:lastColumn="0" w:noHBand="0" w:noVBand="1"/>
      </w:tblPr>
      <w:tblGrid>
        <w:gridCol w:w="3380"/>
        <w:gridCol w:w="1536"/>
        <w:gridCol w:w="1536"/>
        <w:gridCol w:w="1536"/>
        <w:gridCol w:w="1396"/>
        <w:gridCol w:w="1396"/>
      </w:tblGrid>
      <w:tr>
        <w:trPr>
          <w:trHeight w:val="300" w:hRule="atLeast"/>
        </w:trPr>
        <w:tc>
          <w:tcPr>
            <w:tcW w:w="394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335"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2015</w:t>
            </w:r>
          </w:p>
        </w:tc>
        <w:tc>
          <w:tcPr>
            <w:tcW w:w="1220"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2014</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2013</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177,866,000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135,987,000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107,006,000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88,988,000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86,987,000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111,934,000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88,265,000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71,651,000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62,752,000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61,897,000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65,932,000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47,722,000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35,355,000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26,236,000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25,090,000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38,992,000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27,284,000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20,411,000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16,650,000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16,275,000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173,760,000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131,801,000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104,773,000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88,810,000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76,897,000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37,946,000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38,842,000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38,567,000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(304,000)</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(390,000)</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(687,000)</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(252,000)</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(176,890)</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4,106,000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4,186,000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2,233,000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178,000 </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1,453,000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(848,000)</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(48,400)</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(459,000)</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(210,000)</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(178,000)</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3,033,000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2,371,000 </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596,000 </w:t>
            </w:r>
          </w:p>
        </w:tc>
        <w:tc>
          <w:tcPr>
            <w:tcW w:w="1220"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(241,000)</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432,678 </w:t>
            </w:r>
          </w:p>
        </w:tc>
      </w:tr>
      <w:tr>
        <w:tblPrEx/>
        <w:trPr>
          <w:trHeight w:val="300" w:hRule="atLeast"/>
        </w:trPr>
        <w:tc>
          <w:tcPr>
            <w:tcW w:w="394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335"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3,033,000 </w:t>
            </w:r>
          </w:p>
        </w:tc>
        <w:tc>
          <w:tcPr>
            <w:tcW w:w="1335"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2,371,000 </w:t>
            </w:r>
          </w:p>
        </w:tc>
        <w:tc>
          <w:tcPr>
            <w:tcW w:w="1335"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596,000 </w:t>
            </w:r>
          </w:p>
        </w:tc>
        <w:tc>
          <w:tcPr>
            <w:tcW w:w="1220"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(241,000)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432,678 </w:t>
            </w:r>
          </w:p>
        </w:tc>
      </w:tr>
    </w:tbl>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(finance.yahoo.com)</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Best Buy Co.</w:t>
      </w:r>
    </w:p>
    <w:tbl>
      <w:tblPr>
        <w:tblW w:w="10056" w:type="dxa"/>
        <w:tblInd w:w="93" w:type="dxa"/>
        <w:tblLook w:val="04A0" w:firstRow="1" w:lastRow="0" w:firstColumn="1" w:lastColumn="0" w:noHBand="0" w:noVBand="1"/>
      </w:tblPr>
      <w:tblGrid>
        <w:gridCol w:w="3440"/>
        <w:gridCol w:w="1396"/>
        <w:gridCol w:w="1396"/>
        <w:gridCol w:w="1396"/>
        <w:gridCol w:w="1396"/>
        <w:gridCol w:w="1396"/>
      </w:tblGrid>
      <w:tr>
        <w:trPr>
          <w:trHeight w:val="300" w:hRule="atLeast"/>
        </w:trPr>
        <w:tc>
          <w:tcPr>
            <w:tcW w:w="394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22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2015</w:t>
            </w:r>
          </w:p>
        </w:tc>
        <w:tc>
          <w:tcPr>
            <w:tcW w:w="122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2013</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39,403,000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39,528,000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40,339,000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39,563,000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37,890,000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29,963,000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30,334,000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31,292,000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30,467,000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2,987,000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9,440,000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9,194,000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9,047,000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9,096,000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34,903,000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7,493,000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7,612,000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7,550,000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7,564,000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7,321,000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37,946,000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38,842,000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37,657,000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37,946,000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38,842,000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38,567,000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(121,000)</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(131,000)</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(272,000)</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(110,000)</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(234,000)</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37,946,000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38,842,000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38,567,000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(72,000)</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(80,000)</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(90,000)</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(91,000)</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1,340,000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1,207,000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807,000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1,246,000 </w:t>
            </w:r>
          </w:p>
        </w:tc>
        <w:tc>
          <w:tcPr>
            <w:tcW w:w="122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1,145,000 </w:t>
            </w:r>
          </w:p>
        </w:tc>
      </w:tr>
      <w:tr>
        <w:tblPrEx/>
        <w:trPr>
          <w:trHeight w:val="300" w:hRule="atLeast"/>
        </w:trPr>
        <w:tc>
          <w:tcPr>
            <w:tcW w:w="394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1,340,000 </w:t>
            </w:r>
          </w:p>
        </w:tc>
        <w:tc>
          <w:tcPr>
            <w:tcW w:w="122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1,207,000 </w:t>
            </w:r>
          </w:p>
        </w:tc>
        <w:tc>
          <w:tcPr>
            <w:tcW w:w="122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807,000 </w:t>
            </w:r>
          </w:p>
        </w:tc>
        <w:tc>
          <w:tcPr>
            <w:tcW w:w="122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1,246,000 </w:t>
            </w:r>
          </w:p>
        </w:tc>
        <w:tc>
          <w:tcPr>
            <w:tcW w:w="122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1,145,000 </w:t>
            </w:r>
          </w:p>
        </w:tc>
      </w:tr>
    </w:tbl>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(finance.yahoo.com)</w:t>
      </w:r>
    </w:p>
    <w:p>
      <w:pPr>
        <w:pStyle w:val="style0"/>
        <w:spacing w:before="100" w:beforeAutospacing="true" w:after="100" w:afterAutospacing="true" w:lineRule="auto" w:line="480"/>
        <w:ind w:firstLine="72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From the above </w:t>
      </w:r>
      <w:r>
        <w:rPr>
          <w:rFonts w:ascii="Times New Roman" w:cs="Times New Roman" w:eastAsia="Times New Roman" w:hAnsi="Times New Roman"/>
          <w:sz w:val="24"/>
          <w:szCs w:val="24"/>
        </w:rPr>
        <w:t>5-year</w:t>
      </w:r>
      <w:r>
        <w:rPr>
          <w:rFonts w:ascii="Times New Roman" w:cs="Times New Roman" w:eastAsia="Times New Roman" w:hAnsi="Times New Roman"/>
          <w:sz w:val="24"/>
          <w:szCs w:val="24"/>
        </w:rPr>
        <w:t xml:space="preserve"> trend analysis, </w:t>
      </w:r>
      <w:r>
        <w:rPr>
          <w:rFonts w:ascii="Times New Roman" w:cs="Times New Roman" w:eastAsia="Times New Roman" w:hAnsi="Times New Roman"/>
          <w:sz w:val="24"/>
          <w:szCs w:val="24"/>
        </w:rPr>
        <w:t>Home</w:t>
      </w:r>
      <w:r>
        <w:rPr>
          <w:rFonts w:ascii="Times New Roman" w:cs="Times New Roman" w:eastAsia="Times New Roman" w:hAnsi="Times New Roman"/>
          <w:sz w:val="24"/>
          <w:szCs w:val="24"/>
        </w:rPr>
        <w:t xml:space="preserve"> depot and Amazon companies have being gaining in income with time. Best Buy </w:t>
      </w:r>
      <w:r>
        <w:rPr>
          <w:rFonts w:ascii="Times New Roman" w:cs="Times New Roman" w:eastAsia="Times New Roman" w:hAnsi="Times New Roman"/>
          <w:sz w:val="24"/>
          <w:szCs w:val="24"/>
        </w:rPr>
        <w:t>Company does</w:t>
      </w:r>
      <w:r>
        <w:rPr>
          <w:rFonts w:ascii="Times New Roman" w:cs="Times New Roman" w:eastAsia="Times New Roman" w:hAnsi="Times New Roman"/>
          <w:sz w:val="24"/>
          <w:szCs w:val="24"/>
        </w:rPr>
        <w:t xml:space="preserve"> not have a stable growth level, </w:t>
      </w:r>
      <w:r>
        <w:rPr>
          <w:rFonts w:ascii="Times New Roman" w:cs="Times New Roman" w:eastAsia="Times New Roman" w:hAnsi="Times New Roman"/>
          <w:sz w:val="24"/>
          <w:szCs w:val="24"/>
        </w:rPr>
        <w:t>however</w:t>
      </w:r>
      <w:r>
        <w:rPr>
          <w:rFonts w:ascii="Times New Roman" w:cs="Times New Roman" w:eastAsia="Times New Roman" w:hAnsi="Times New Roman"/>
          <w:sz w:val="24"/>
          <w:szCs w:val="24"/>
        </w:rPr>
        <w:t xml:space="preserve">, in the last 2 </w:t>
      </w:r>
      <w:r>
        <w:rPr>
          <w:rFonts w:ascii="Times New Roman" w:cs="Times New Roman" w:eastAsia="Times New Roman" w:hAnsi="Times New Roman"/>
          <w:sz w:val="24"/>
          <w:szCs w:val="24"/>
        </w:rPr>
        <w:t>years;</w:t>
      </w:r>
      <w:r>
        <w:rPr>
          <w:rFonts w:ascii="Times New Roman" w:cs="Times New Roman" w:eastAsia="Times New Roman" w:hAnsi="Times New Roman"/>
          <w:sz w:val="24"/>
          <w:szCs w:val="24"/>
        </w:rPr>
        <w:t xml:space="preserve"> the </w:t>
      </w:r>
      <w:r>
        <w:rPr>
          <w:rFonts w:ascii="Times New Roman" w:cs="Times New Roman" w:eastAsia="Times New Roman" w:hAnsi="Times New Roman"/>
          <w:sz w:val="24"/>
          <w:szCs w:val="24"/>
        </w:rPr>
        <w:t>company</w:t>
      </w:r>
      <w:r>
        <w:rPr>
          <w:rFonts w:ascii="Times New Roman" w:cs="Times New Roman" w:eastAsia="Times New Roman" w:hAnsi="Times New Roman"/>
          <w:sz w:val="24"/>
          <w:szCs w:val="24"/>
        </w:rPr>
        <w:t xml:space="preserve"> has being gaining increased revenue levels.</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Projections in the future</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Home depot projections</w:t>
      </w:r>
    </w:p>
    <w:tbl>
      <w:tblPr>
        <w:tblW w:w="10502" w:type="dxa"/>
        <w:tblInd w:w="93" w:type="dxa"/>
        <w:tblLook w:val="04A0" w:firstRow="1" w:lastRow="0" w:firstColumn="1" w:lastColumn="0" w:noHBand="0" w:noVBand="1"/>
      </w:tblPr>
      <w:tblGrid>
        <w:gridCol w:w="3789"/>
        <w:gridCol w:w="1532"/>
        <w:gridCol w:w="1532"/>
        <w:gridCol w:w="2053"/>
        <w:gridCol w:w="1596"/>
      </w:tblGrid>
      <w:tr>
        <w:trPr>
          <w:trHeight w:val="300" w:hRule="atLeast"/>
        </w:trPr>
        <w:tc>
          <w:tcPr>
            <w:tcW w:w="382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53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Percentage</w:t>
            </w:r>
            <w:r>
              <w:rPr>
                <w:rFonts w:ascii="Times New Roman" w:cs="Times New Roman" w:eastAsia="Times New Roman" w:hAnsi="Times New Roman"/>
                <w:color w:val="000000"/>
                <w:sz w:val="24"/>
                <w:szCs w:val="24"/>
              </w:rPr>
              <w:t xml:space="preserve"> change</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2018 projections</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94,595,000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88,519,000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6,493,060.47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62,282,000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58,254,000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4,306,517.94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32,313,000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30,265,000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2,186,585.96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0.14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1,885,071.43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81,168,000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76,745,000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0.06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4,677,908.19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0.14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1,885,071.43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(936,000)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(753,000)</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0.24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(227,474.10)</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13,427,000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11,774,000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0.14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1,885,071.43 </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(972,000)</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(919,000)</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 xml:space="preserve">0.06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(56,056.58)</w:t>
            </w:r>
          </w:p>
        </w:tc>
      </w:tr>
      <w:tr>
        <w:tblPrEx/>
        <w:trPr>
          <w:trHeight w:val="300" w:hRule="atLeast"/>
        </w:trPr>
        <w:tc>
          <w:tcPr>
            <w:tcW w:w="382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534"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7,957,000 </w:t>
            </w:r>
          </w:p>
        </w:tc>
        <w:tc>
          <w:tcPr>
            <w:tcW w:w="153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6,038,000 </w:t>
            </w:r>
          </w:p>
        </w:tc>
        <w:tc>
          <w:tcPr>
            <w:tcW w:w="20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0.32 </w:t>
            </w:r>
          </w:p>
        </w:tc>
        <w:tc>
          <w:tcPr>
            <w:tcW w:w="15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2,528,897.48 </w:t>
            </w:r>
          </w:p>
        </w:tc>
      </w:tr>
      <w:tr>
        <w:tblPrEx/>
        <w:trPr>
          <w:trHeight w:val="300" w:hRule="atLeast"/>
        </w:trPr>
        <w:tc>
          <w:tcPr>
            <w:tcW w:w="382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7,957,000 </w:t>
            </w:r>
          </w:p>
        </w:tc>
        <w:tc>
          <w:tcPr>
            <w:tcW w:w="153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6,038,000 </w:t>
            </w:r>
          </w:p>
        </w:tc>
        <w:tc>
          <w:tcPr>
            <w:tcW w:w="2062"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0.32 </w:t>
            </w:r>
          </w:p>
        </w:tc>
        <w:tc>
          <w:tcPr>
            <w:tcW w:w="1552" w:type="dxa"/>
            <w:tcBorders>
              <w:top w:val="nil"/>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2,528,897.48 </w:t>
            </w:r>
          </w:p>
        </w:tc>
      </w:tr>
    </w:tbl>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Amazon projections</w:t>
      </w:r>
    </w:p>
    <w:tbl>
      <w:tblPr>
        <w:tblW w:w="10224" w:type="dxa"/>
        <w:tblInd w:w="93" w:type="dxa"/>
        <w:tblLook w:val="04A0" w:firstRow="1" w:lastRow="0" w:firstColumn="1" w:lastColumn="0" w:noHBand="0" w:noVBand="1"/>
      </w:tblPr>
      <w:tblGrid>
        <w:gridCol w:w="3634"/>
        <w:gridCol w:w="1536"/>
        <w:gridCol w:w="1536"/>
        <w:gridCol w:w="1888"/>
        <w:gridCol w:w="1896"/>
      </w:tblGrid>
      <w:tr>
        <w:trPr>
          <w:trHeight w:val="300" w:hRule="atLeast"/>
        </w:trPr>
        <w:tc>
          <w:tcPr>
            <w:tcW w:w="394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335"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1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Percentage change</w:t>
            </w:r>
          </w:p>
        </w:tc>
        <w:tc>
          <w:tcPr>
            <w:tcW w:w="1652" w:type="dxa"/>
            <w:tcBorders>
              <w:top w:val="single" w:sz="4" w:space="0" w:color="auto"/>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2018 projections</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177,866,000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135,987,000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0.31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54,776,193.42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111,934,000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88,265,000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0.27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30,016,040.85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65,932,000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47,722,000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0.38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25,158,663.09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38,992,000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27,284,000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0.43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16,732,089.72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173,760,000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131,801,000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0.32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55,316,695.93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2,928,977.47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(304,000)</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(390,000)</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(0.22)</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67,035.90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4,106,000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4,186,000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(0.02)</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(78,471.09)</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(848,000)</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(48,400)</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16.52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(14,009,520.66)</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335"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3,033,000 </w:t>
            </w:r>
          </w:p>
        </w:tc>
        <w:tc>
          <w:tcPr>
            <w:tcW w:w="1335"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2,371,000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0.28 </w:t>
            </w:r>
          </w:p>
        </w:tc>
        <w:tc>
          <w:tcPr>
            <w:tcW w:w="1652"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846,835.09 </w:t>
            </w:r>
          </w:p>
        </w:tc>
      </w:tr>
      <w:tr>
        <w:tblPrEx/>
        <w:trPr>
          <w:trHeight w:val="300" w:hRule="atLeast"/>
        </w:trPr>
        <w:tc>
          <w:tcPr>
            <w:tcW w:w="394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335"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3,033,000 </w:t>
            </w:r>
          </w:p>
        </w:tc>
        <w:tc>
          <w:tcPr>
            <w:tcW w:w="1335"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2,371,000 </w:t>
            </w:r>
          </w:p>
        </w:tc>
        <w:tc>
          <w:tcPr>
            <w:tcW w:w="1962"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0.28 </w:t>
            </w:r>
          </w:p>
        </w:tc>
        <w:tc>
          <w:tcPr>
            <w:tcW w:w="1652" w:type="dxa"/>
            <w:tcBorders>
              <w:top w:val="nil"/>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846,835.09 </w:t>
            </w:r>
          </w:p>
        </w:tc>
      </w:tr>
    </w:tbl>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Best Buy projections</w:t>
      </w:r>
    </w:p>
    <w:tbl>
      <w:tblPr>
        <w:tblW w:w="10010" w:type="dxa"/>
        <w:tblInd w:w="93" w:type="dxa"/>
        <w:tblLook w:val="04A0" w:firstRow="1" w:lastRow="0" w:firstColumn="1" w:lastColumn="0" w:noHBand="0" w:noVBand="1"/>
      </w:tblPr>
      <w:tblGrid>
        <w:gridCol w:w="3783"/>
        <w:gridCol w:w="1396"/>
        <w:gridCol w:w="1396"/>
        <w:gridCol w:w="1924"/>
        <w:gridCol w:w="1659"/>
      </w:tblGrid>
      <w:tr>
        <w:trPr>
          <w:trHeight w:val="300" w:hRule="atLeast"/>
        </w:trPr>
        <w:tc>
          <w:tcPr>
            <w:tcW w:w="3940" w:type="dxa"/>
            <w:tcBorders>
              <w:top w:val="single" w:sz="4" w:space="0" w:color="auto"/>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2017</w:t>
            </w:r>
          </w:p>
        </w:tc>
        <w:tc>
          <w:tcPr>
            <w:tcW w:w="1224" w:type="dxa"/>
            <w:tcBorders>
              <w:top w:val="single" w:sz="4" w:space="0" w:color="auto"/>
              <w:left w:val="nil"/>
              <w:bottom w:val="single" w:sz="4" w:space="0" w:color="auto"/>
              <w:right w:val="nil"/>
            </w:tcBorders>
            <w:shd w:val="clear" w:color="auto" w:fill="auto"/>
            <w:noWrap/>
            <w:vAlign w:val="bottom"/>
            <w:hideMark/>
          </w:tcPr>
          <w:p>
            <w:pPr>
              <w:pStyle w:val="style0"/>
              <w:spacing w:after="0" w:lineRule="auto" w:line="24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2016</w:t>
            </w:r>
          </w:p>
        </w:tc>
        <w:tc>
          <w:tcPr>
            <w:tcW w:w="1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Percentage change</w:t>
            </w:r>
          </w:p>
        </w:tc>
        <w:tc>
          <w:tcPr>
            <w:tcW w:w="1664" w:type="dxa"/>
            <w:tcBorders>
              <w:top w:val="single" w:sz="4" w:space="0" w:color="auto"/>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2018 projections</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Revenue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39,403,000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39,528,000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(0.00)</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(124,604.71)</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Cost of Revenue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29,963,000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30,334,000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(0.01)</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(366,462.48)</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Gross profit</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9,440,000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9,194,000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0.03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252,582.12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expenses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Selling and General Administrative costs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7,493,000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7,612,000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(0.02)</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(117,139.65)</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operating expense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2,928,977.47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Operating income or loss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2,928,977.47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 expenses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(121,000)</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(131,000)</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(0.08)</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9,236.64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EBIT</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40,186,000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37,456,000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0.07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2,928,977.47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Interest expense</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(72,000)</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(1.00)</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   </w:t>
            </w:r>
          </w:p>
        </w:tc>
      </w:tr>
      <w:tr>
        <w:tblPrEx/>
        <w:trPr>
          <w:trHeight w:val="300" w:hRule="atLeast"/>
        </w:trPr>
        <w:tc>
          <w:tcPr>
            <w:tcW w:w="3940" w:type="dxa"/>
            <w:tcBorders>
              <w:top w:val="nil"/>
              <w:left w:val="single" w:sz="4" w:space="0" w:color="auto"/>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Income from continuing operations</w:t>
            </w:r>
          </w:p>
        </w:tc>
        <w:tc>
          <w:tcPr>
            <w:tcW w:w="1220"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1,340,000 </w:t>
            </w:r>
          </w:p>
        </w:tc>
        <w:tc>
          <w:tcPr>
            <w:tcW w:w="1224" w:type="dxa"/>
            <w:tcBorders>
              <w:top w:val="nil"/>
              <w:left w:val="nil"/>
              <w:bottom w:val="nil"/>
              <w:right w:val="nil"/>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1,207,000 </w:t>
            </w:r>
          </w:p>
        </w:tc>
        <w:tc>
          <w:tcPr>
            <w:tcW w:w="1962" w:type="dxa"/>
            <w:tcBorders>
              <w:top w:val="nil"/>
              <w:left w:val="single" w:sz="4" w:space="0" w:color="auto"/>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0.11 </w:t>
            </w:r>
          </w:p>
        </w:tc>
        <w:tc>
          <w:tcPr>
            <w:tcW w:w="1664" w:type="dxa"/>
            <w:tcBorders>
              <w:top w:val="nil"/>
              <w:left w:val="nil"/>
              <w:bottom w:val="nil"/>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147,655.34 </w:t>
            </w:r>
          </w:p>
        </w:tc>
      </w:tr>
      <w:tr>
        <w:tblPrEx/>
        <w:trPr>
          <w:trHeight w:val="300" w:hRule="atLeast"/>
        </w:trPr>
        <w:tc>
          <w:tcPr>
            <w:tcW w:w="3940" w:type="dxa"/>
            <w:tcBorders>
              <w:top w:val="nil"/>
              <w:left w:val="single" w:sz="4" w:space="0" w:color="auto"/>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Net income</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1,340,000 </w:t>
            </w:r>
          </w:p>
        </w:tc>
        <w:tc>
          <w:tcPr>
            <w:tcW w:w="1224" w:type="dxa"/>
            <w:tcBorders>
              <w:top w:val="nil"/>
              <w:left w:val="nil"/>
              <w:bottom w:val="single" w:sz="4" w:space="0" w:color="auto"/>
              <w:right w:val="nil"/>
            </w:tcBorders>
            <w:shd w:val="clear" w:color="auto" w:fill="auto"/>
            <w:noWrap/>
            <w:vAlign w:val="bottom"/>
            <w:hideMark/>
          </w:tcPr>
          <w:p>
            <w:pPr>
              <w:pStyle w:val="style0"/>
              <w:spacing w:after="0" w:lineRule="auto" w:line="24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1,207,000 </w:t>
            </w:r>
          </w:p>
        </w:tc>
        <w:tc>
          <w:tcPr>
            <w:tcW w:w="1962" w:type="dxa"/>
            <w:tcBorders>
              <w:top w:val="nil"/>
              <w:left w:val="single" w:sz="4" w:space="0" w:color="auto"/>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0.11 </w:t>
            </w:r>
          </w:p>
        </w:tc>
        <w:tc>
          <w:tcPr>
            <w:tcW w:w="1664" w:type="dxa"/>
            <w:tcBorders>
              <w:top w:val="nil"/>
              <w:left w:val="nil"/>
              <w:bottom w:val="single" w:sz="4" w:space="0" w:color="auto"/>
              <w:right w:val="single" w:sz="4" w:space="0" w:color="auto"/>
            </w:tcBorders>
            <w:shd w:val="clear" w:color="auto" w:fill="auto"/>
            <w:noWrap/>
            <w:vAlign w:val="bottom"/>
            <w:hideMark/>
          </w:tcPr>
          <w:p>
            <w:pPr>
              <w:pStyle w:val="style0"/>
              <w:spacing w:after="0"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147,655.34 </w:t>
            </w:r>
          </w:p>
        </w:tc>
      </w:tr>
    </w:tbl>
    <w:p>
      <w:pPr>
        <w:pStyle w:val="style0"/>
        <w:spacing w:before="100" w:beforeAutospacing="true" w:after="100" w:afterAutospacing="true" w:lineRule="auto" w:line="480"/>
        <w:ind w:firstLine="72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From the above projections, Best Buy will have a reduction in the income. This is based on the trend </w:t>
      </w:r>
      <w:r>
        <w:rPr>
          <w:rFonts w:ascii="Times New Roman" w:cs="Times New Roman" w:eastAsia="Times New Roman" w:hAnsi="Times New Roman"/>
          <w:sz w:val="24"/>
          <w:szCs w:val="24"/>
        </w:rPr>
        <w:t>from</w:t>
      </w:r>
      <w:r>
        <w:rPr>
          <w:rFonts w:ascii="Times New Roman" w:cs="Times New Roman" w:eastAsia="Times New Roman" w:hAnsi="Times New Roman"/>
          <w:sz w:val="24"/>
          <w:szCs w:val="24"/>
        </w:rPr>
        <w:t xml:space="preserve"> the previous years. </w:t>
      </w:r>
      <w:r>
        <w:rPr>
          <w:rFonts w:ascii="Times New Roman" w:cs="Times New Roman" w:eastAsia="Times New Roman" w:hAnsi="Times New Roman"/>
          <w:sz w:val="24"/>
          <w:szCs w:val="24"/>
        </w:rPr>
        <w:t>However</w:t>
      </w:r>
      <w:r>
        <w:rPr>
          <w:rFonts w:ascii="Times New Roman" w:cs="Times New Roman" w:eastAsia="Times New Roman" w:hAnsi="Times New Roman"/>
          <w:sz w:val="24"/>
          <w:szCs w:val="24"/>
        </w:rPr>
        <w:t xml:space="preserve">, Amazon and Home depot </w:t>
      </w:r>
      <w:r>
        <w:rPr>
          <w:rFonts w:ascii="Times New Roman" w:cs="Times New Roman" w:eastAsia="Times New Roman" w:hAnsi="Times New Roman"/>
          <w:sz w:val="24"/>
          <w:szCs w:val="24"/>
        </w:rPr>
        <w:t>Inc.</w:t>
      </w:r>
      <w:r>
        <w:rPr>
          <w:rFonts w:ascii="Times New Roman" w:cs="Times New Roman" w:eastAsia="Times New Roman" w:hAnsi="Times New Roman"/>
          <w:sz w:val="24"/>
          <w:szCs w:val="24"/>
        </w:rPr>
        <w:t xml:space="preserve"> will have a gain in their income in the next </w:t>
      </w:r>
      <w:r>
        <w:rPr>
          <w:rFonts w:ascii="Times New Roman" w:cs="Times New Roman" w:eastAsia="Times New Roman" w:hAnsi="Times New Roman"/>
          <w:sz w:val="24"/>
          <w:szCs w:val="24"/>
        </w:rPr>
        <w:t>financial</w:t>
      </w:r>
      <w:r>
        <w:rPr>
          <w:rFonts w:ascii="Times New Roman" w:cs="Times New Roman" w:eastAsia="Times New Roman" w:hAnsi="Times New Roman"/>
          <w:sz w:val="24"/>
          <w:szCs w:val="24"/>
        </w:rPr>
        <w:t xml:space="preserve"> year.</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Capital</w:t>
      </w:r>
      <w:r>
        <w:rPr>
          <w:rFonts w:ascii="Times New Roman" w:cs="Times New Roman" w:eastAsia="Times New Roman" w:hAnsi="Times New Roman"/>
          <w:sz w:val="24"/>
          <w:szCs w:val="24"/>
        </w:rPr>
        <w:t xml:space="preserve"> structure</w:t>
      </w:r>
    </w:p>
    <w:p>
      <w:pPr>
        <w:pStyle w:val="style0"/>
        <w:spacing w:before="100" w:beforeAutospacing="true" w:after="100" w:afterAutospacing="true" w:lineRule="auto" w:line="480"/>
        <w:ind w:firstLine="72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From the Balance sheet of Home depot, the company is </w:t>
      </w:r>
      <w:r>
        <w:rPr>
          <w:rFonts w:ascii="Times New Roman" w:cs="Times New Roman" w:eastAsia="Times New Roman" w:hAnsi="Times New Roman"/>
          <w:sz w:val="24"/>
          <w:szCs w:val="24"/>
        </w:rPr>
        <w:t>financed</w:t>
      </w:r>
      <w:r>
        <w:rPr>
          <w:rFonts w:ascii="Times New Roman" w:cs="Times New Roman" w:eastAsia="Times New Roman" w:hAnsi="Times New Roman"/>
          <w:sz w:val="24"/>
          <w:szCs w:val="24"/>
        </w:rPr>
        <w:t xml:space="preserve"> by common stock, R</w:t>
      </w:r>
      <w:r>
        <w:rPr>
          <w:rFonts w:ascii="Times New Roman" w:cs="Times New Roman" w:eastAsia="Times New Roman" w:hAnsi="Times New Roman"/>
          <w:sz w:val="24"/>
          <w:szCs w:val="24"/>
        </w:rPr>
        <w:t>etained earnings, and treasury stock. The company relies more on treasury stock for the financing of the company operations. The company relies more on debt for financing as opposed to common stock financing that indicator.</w:t>
      </w:r>
    </w:p>
    <w:p>
      <w:pPr>
        <w:pStyle w:val="style0"/>
        <w:spacing w:before="100" w:beforeAutospacing="true" w:after="100" w:afterAutospacing="true" w:lineRule="auto" w:line="480"/>
        <w:ind w:firstLine="72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Best Buy relies on fi</w:t>
      </w:r>
      <w:r>
        <w:rPr>
          <w:rFonts w:ascii="Times New Roman" w:cs="Times New Roman" w:eastAsia="Times New Roman" w:hAnsi="Times New Roman"/>
          <w:sz w:val="24"/>
          <w:szCs w:val="24"/>
        </w:rPr>
        <w:t>nancing</w:t>
      </w:r>
      <w:r>
        <w:rPr>
          <w:rFonts w:ascii="Times New Roman" w:cs="Times New Roman" w:eastAsia="Times New Roman" w:hAnsi="Times New Roman"/>
          <w:sz w:val="24"/>
          <w:szCs w:val="24"/>
        </w:rPr>
        <w:t xml:space="preserve"> from common stock, retaining earnings, treasury stock, and other stockholders equity. Most of the financing for the company is from the retaining earnings of the company. That is an indicator that the company is a going concern. Most of the income of the company is reinvested into the company operations and that leads to business growth with minimal financial obligations, from the income statement of the company, the company has minimal interest expense and that is because the company does not rely on debt financing for company operations.</w:t>
      </w:r>
    </w:p>
    <w:p>
      <w:pPr>
        <w:pStyle w:val="style0"/>
        <w:spacing w:before="100" w:beforeAutospacing="true" w:after="100" w:afterAutospacing="true" w:lineRule="auto" w:line="480"/>
        <w:ind w:firstLine="72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Amazon Company is </w:t>
      </w:r>
      <w:r>
        <w:rPr>
          <w:rFonts w:ascii="Times New Roman" w:cs="Times New Roman" w:eastAsia="Times New Roman" w:hAnsi="Times New Roman"/>
          <w:sz w:val="24"/>
          <w:szCs w:val="24"/>
        </w:rPr>
        <w:t>financed</w:t>
      </w:r>
      <w:r>
        <w:rPr>
          <w:rFonts w:ascii="Times New Roman" w:cs="Times New Roman" w:eastAsia="Times New Roman" w:hAnsi="Times New Roman"/>
          <w:sz w:val="24"/>
          <w:szCs w:val="24"/>
        </w:rPr>
        <w:t xml:space="preserve"> from common stock, retained earnings, treasury stock capital surplus, and other stakeholder’s equity. The largest portion of fin</w:t>
      </w:r>
      <w:r>
        <w:rPr>
          <w:rFonts w:ascii="Times New Roman" w:cs="Times New Roman" w:eastAsia="Times New Roman" w:hAnsi="Times New Roman"/>
          <w:sz w:val="24"/>
          <w:szCs w:val="24"/>
        </w:rPr>
        <w:t>ancing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w:t>
      </w:r>
      <w:r>
        <w:rPr>
          <w:rFonts w:ascii="Times New Roman" w:cs="Times New Roman" w:eastAsia="Times New Roman" w:hAnsi="Times New Roman"/>
          <w:sz w:val="24"/>
          <w:szCs w:val="24"/>
        </w:rPr>
        <w:t>s from the capital surplus. The financing shows that the company relies on their past earnings to finance their current operations, the treasury stock level is higher compared to the common stock The Company relies on debt financing compared to equity financing.</w:t>
      </w: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p>
    <w:bookmarkStart w:id="0" w:name="_GoBack"/>
    <w:bookmarkEnd w:id="0"/>
    <w:p>
      <w:pPr>
        <w:pStyle w:val="style0"/>
        <w:spacing w:before="100" w:beforeAutospacing="true" w:after="100" w:afterAutospacing="true" w:lineRule="auto" w:line="480"/>
        <w:jc w:val="center"/>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Yahoo Finance. Amazon.com Inc. Retrieved on 8</w:t>
      </w:r>
      <w:r>
        <w:rPr>
          <w:rFonts w:ascii="Times New Roman" w:cs="Times New Roman" w:eastAsia="Times New Roman" w:hAnsi="Times New Roman"/>
          <w:sz w:val="24"/>
          <w:szCs w:val="24"/>
          <w:vertAlign w:val="superscript"/>
        </w:rPr>
        <w:t>th</w:t>
      </w:r>
      <w:r>
        <w:rPr>
          <w:rFonts w:ascii="Times New Roman" w:cs="Times New Roman" w:eastAsia="Times New Roman" w:hAnsi="Times New Roman"/>
          <w:sz w:val="24"/>
          <w:szCs w:val="24"/>
        </w:rPr>
        <w:t xml:space="preserve"> September 2018 from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https://finance.yahoo.com/quote/AMZN/balance-sheet?p=AMZN</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Yahoo Finance. </w:t>
      </w:r>
      <w:r>
        <w:rPr>
          <w:rFonts w:ascii="Times New Roman" w:cs="Times New Roman" w:eastAsia="Times New Roman" w:hAnsi="Times New Roman"/>
          <w:sz w:val="24"/>
          <w:szCs w:val="24"/>
        </w:rPr>
        <w:t>Best Buy Co.Inc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Retrieved</w:t>
      </w:r>
      <w:r>
        <w:rPr>
          <w:rFonts w:ascii="Times New Roman" w:cs="Times New Roman" w:eastAsia="Times New Roman" w:hAnsi="Times New Roman"/>
          <w:sz w:val="24"/>
          <w:szCs w:val="24"/>
        </w:rPr>
        <w:t xml:space="preserve"> on 8</w:t>
      </w:r>
      <w:r>
        <w:rPr>
          <w:rFonts w:ascii="Times New Roman" w:cs="Times New Roman" w:eastAsia="Times New Roman" w:hAnsi="Times New Roman"/>
          <w:sz w:val="24"/>
          <w:szCs w:val="24"/>
          <w:vertAlign w:val="superscript"/>
        </w:rPr>
        <w:t>th</w:t>
      </w:r>
      <w:r>
        <w:rPr>
          <w:rFonts w:ascii="Times New Roman" w:cs="Times New Roman" w:eastAsia="Times New Roman" w:hAnsi="Times New Roman"/>
          <w:sz w:val="24"/>
          <w:szCs w:val="24"/>
        </w:rPr>
        <w:t xml:space="preserve"> September 2018 from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https://finance.yahoo.com/quote/BBY/balance-sheet?p=BBY</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r>
        <w:rPr>
          <w:rFonts w:ascii="Times New Roman" w:cs="Times New Roman" w:eastAsia="Times New Roman" w:hAnsi="Times New Roman"/>
          <w:sz w:val="24"/>
          <w:szCs w:val="24"/>
        </w:rPr>
        <w:t>Yahoo Finance</w:t>
      </w:r>
      <w:r>
        <w:rPr>
          <w:rFonts w:ascii="Times New Roman" w:cs="Times New Roman" w:eastAsia="Times New Roman" w:hAnsi="Times New Roman"/>
          <w:sz w:val="24"/>
          <w:szCs w:val="24"/>
        </w:rPr>
        <w:t xml:space="preserve">. The Home Depot, Inc.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Retrieved</w:t>
      </w:r>
      <w:r>
        <w:rPr>
          <w:rFonts w:ascii="Times New Roman" w:cs="Times New Roman" w:eastAsia="Times New Roman" w:hAnsi="Times New Roman"/>
          <w:sz w:val="24"/>
          <w:szCs w:val="24"/>
        </w:rPr>
        <w:t xml:space="preserve"> on 8</w:t>
      </w:r>
      <w:r>
        <w:rPr>
          <w:rFonts w:ascii="Times New Roman" w:cs="Times New Roman" w:eastAsia="Times New Roman" w:hAnsi="Times New Roman"/>
          <w:sz w:val="24"/>
          <w:szCs w:val="24"/>
          <w:vertAlign w:val="superscript"/>
        </w:rPr>
        <w:t>th</w:t>
      </w:r>
      <w:r>
        <w:rPr>
          <w:rFonts w:ascii="Times New Roman" w:cs="Times New Roman" w:eastAsia="Times New Roman" w:hAnsi="Times New Roman"/>
          <w:sz w:val="24"/>
          <w:szCs w:val="24"/>
        </w:rPr>
        <w:t xml:space="preserve"> September 2018 from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https://finance.yahoo.com/quote/HD/balance-sheet?p=HD</w:t>
      </w: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outlineLvl w:val="2"/>
        <w:rPr>
          <w:rFonts w:ascii="Times New Roman" w:cs="Times New Roman" w:eastAsia="Times New Roman" w:hAnsi="Times New Roman"/>
          <w:sz w:val="24"/>
          <w:szCs w:val="24"/>
        </w:rPr>
      </w:pPr>
    </w:p>
    <w:p>
      <w:pPr>
        <w:pStyle w:val="style0"/>
        <w:spacing w:before="100" w:beforeAutospacing="true" w:after="100" w:afterAutospacing="true" w:lineRule="auto" w:line="480"/>
        <w:ind w:left="720"/>
        <w:outlineLvl w:val="2"/>
        <w:rPr>
          <w:rFonts w:ascii="Times New Roman" w:cs="Times New Roman" w:hAnsi="Times New Roman"/>
          <w:sz w:val="24"/>
          <w:szCs w:val="24"/>
        </w:rPr>
      </w:pPr>
      <w:r>
        <w:rPr>
          <w:rFonts w:ascii="Times New Roman" w:cs="Times New Roman" w:eastAsia="Times New Roman" w:hAnsi="Times New Roman"/>
          <w:sz w:val="24"/>
          <w:szCs w:val="24"/>
        </w:rPr>
        <w:t>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COMPETITOR ANALYSIS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COMPETITOR ANALYSIS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08863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style>
  <w:style w:type="paragraph" w:styleId="style1">
    <w:name w:val="heading 1"/>
    <w:basedOn w:val="style19"/>
    <w:next w:val="style0"/>
    <w:link w:val="style4097"/>
    <w:qFormat/>
    <w:uiPriority w:val="9"/>
    <w:pPr>
      <w:keepNext/>
      <w:keepLines/>
      <w:spacing w:before="360" w:after="120"/>
      <w:outlineLvl w:val="0"/>
    </w:pPr>
    <w:rPr>
      <w:rFonts w:ascii="Georgia" w:cs="宋体" w:eastAsia="宋体" w:hAnsi="Georgia"/>
      <w:b/>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363bf36-77de-47d4-ba8b-e58d45f73727"/>
    <w:basedOn w:val="style65"/>
    <w:next w:val="style4097"/>
    <w:link w:val="style1"/>
    <w:uiPriority w:val="9"/>
    <w:rPr>
      <w:rFonts w:ascii="Georgia" w:cs="宋体" w:eastAsia="宋体" w:hAnsi="Georgia"/>
      <w:b/>
      <w:sz w:val="32"/>
      <w:szCs w:val="32"/>
    </w:rPr>
  </w:style>
  <w:style w:type="paragraph" w:styleId="style19">
    <w:name w:val="toc 1"/>
    <w:basedOn w:val="style0"/>
    <w:next w:val="style0"/>
    <w:uiPriority w:val="39"/>
    <w:pPr>
      <w:spacing w:after="100"/>
    </w:pPr>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bd7b77ef-ec2c-46fc-866b-15e14836d46b"/>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c15f9b6-1c46-429d-b722-23929fe66de0"/>
    <w:basedOn w:val="style65"/>
    <w:next w:val="style4099"/>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919</Words>
  <Pages>8</Pages>
  <Characters>6414</Characters>
  <Application>WPS Office</Application>
  <DocSecurity>0</DocSecurity>
  <Paragraphs>604</Paragraphs>
  <ScaleCrop>false</ScaleCrop>
  <LinksUpToDate>false</LinksUpToDate>
  <CharactersWithSpaces>10488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2018-09-08T19:38:57Z</dcterms:created>
  <dc:creator>Kathleen Sindell</dc:creator>
  <lastModifiedBy>TA-1021</lastModifiedBy>
  <dcterms:modified xsi:type="dcterms:W3CDTF">2018-09-08T19:38:58Z</dcterms:modified>
  <revision>2</revision>
</coreProperties>
</file>

<file path=docProps/custom.xml><?xml version="1.0" encoding="utf-8"?>
<Properties xmlns="http://schemas.openxmlformats.org/officeDocument/2006/custom-properties" xmlns:vt="http://schemas.openxmlformats.org/officeDocument/2006/docPropsVTypes"/>
</file>